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5BFD" w14:textId="3285A811" w:rsidR="00E20A90" w:rsidRDefault="00DB2F73" w:rsidP="00B840BD">
      <w:pPr>
        <w:jc w:val="center"/>
      </w:pPr>
      <w:bookmarkStart w:id="0" w:name="_Hlk30081926"/>
      <w:r>
        <w:rPr>
          <w:noProof/>
        </w:rPr>
        <w:drawing>
          <wp:inline distT="0" distB="0" distL="0" distR="0" wp14:anchorId="4C8D6FAA" wp14:editId="1907FB0B">
            <wp:extent cx="1005212" cy="1211580"/>
            <wp:effectExtent l="0" t="0" r="444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45" cy="12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C364" w14:textId="0BCC317A" w:rsidR="00E20280" w:rsidRDefault="00E20280" w:rsidP="00816C30">
      <w:pPr>
        <w:jc w:val="center"/>
        <w:rPr>
          <w:b/>
          <w:sz w:val="28"/>
          <w:szCs w:val="28"/>
        </w:rPr>
      </w:pPr>
      <w:r w:rsidRPr="003D72F3">
        <w:rPr>
          <w:b/>
          <w:sz w:val="28"/>
          <w:szCs w:val="28"/>
        </w:rPr>
        <w:t>Dual Enrollment Information</w:t>
      </w:r>
    </w:p>
    <w:p w14:paraId="6C1C8698" w14:textId="7E779B2B" w:rsidR="00C9581A" w:rsidRPr="00C9581A" w:rsidRDefault="00C9581A" w:rsidP="00C9581A">
      <w:pPr>
        <w:jc w:val="center"/>
        <w:rPr>
          <w:bCs/>
          <w:sz w:val="24"/>
          <w:szCs w:val="24"/>
        </w:rPr>
      </w:pPr>
      <w:r w:rsidRPr="00C9581A">
        <w:rPr>
          <w:bCs/>
          <w:sz w:val="24"/>
          <w:szCs w:val="24"/>
        </w:rPr>
        <w:t>Contact: Mrs. Asplen- Academy Administrator</w:t>
      </w:r>
    </w:p>
    <w:p w14:paraId="06731FC9" w14:textId="156CAB45" w:rsidR="009E36C1" w:rsidRDefault="00E20280" w:rsidP="00250477">
      <w:pPr>
        <w:jc w:val="both"/>
        <w:rPr>
          <w:sz w:val="20"/>
          <w:szCs w:val="20"/>
        </w:rPr>
      </w:pPr>
      <w:r w:rsidRPr="00250477">
        <w:rPr>
          <w:sz w:val="20"/>
          <w:szCs w:val="20"/>
        </w:rPr>
        <w:t>Ponte Vedra High School offer</w:t>
      </w:r>
      <w:r w:rsidR="000241CA">
        <w:rPr>
          <w:sz w:val="20"/>
          <w:szCs w:val="20"/>
        </w:rPr>
        <w:t>s</w:t>
      </w:r>
      <w:r w:rsidR="00816C30">
        <w:rPr>
          <w:sz w:val="20"/>
          <w:szCs w:val="20"/>
        </w:rPr>
        <w:t xml:space="preserve"> opportunities for </w:t>
      </w:r>
      <w:r w:rsidR="00816C30" w:rsidRPr="00250477">
        <w:rPr>
          <w:sz w:val="20"/>
          <w:szCs w:val="20"/>
        </w:rPr>
        <w:t>dual</w:t>
      </w:r>
      <w:r w:rsidRPr="00250477">
        <w:rPr>
          <w:sz w:val="20"/>
          <w:szCs w:val="20"/>
        </w:rPr>
        <w:t xml:space="preserve"> enrollment courses in partnership with</w:t>
      </w:r>
      <w:r w:rsidR="00CE17F0">
        <w:rPr>
          <w:sz w:val="20"/>
          <w:szCs w:val="20"/>
        </w:rPr>
        <w:t xml:space="preserve"> </w:t>
      </w:r>
      <w:r w:rsidR="00CE17F0" w:rsidRPr="007E523F">
        <w:rPr>
          <w:b/>
          <w:i/>
          <w:sz w:val="20"/>
          <w:szCs w:val="20"/>
        </w:rPr>
        <w:t>The</w:t>
      </w:r>
      <w:r w:rsidRPr="007E523F">
        <w:rPr>
          <w:b/>
          <w:i/>
          <w:sz w:val="20"/>
          <w:szCs w:val="20"/>
        </w:rPr>
        <w:t xml:space="preserve"> University </w:t>
      </w:r>
      <w:r w:rsidR="00DE12A6" w:rsidRPr="007E523F">
        <w:rPr>
          <w:b/>
          <w:i/>
          <w:sz w:val="20"/>
          <w:szCs w:val="20"/>
        </w:rPr>
        <w:t>of North Florida.</w:t>
      </w:r>
      <w:r w:rsidR="00CB188F" w:rsidRPr="00250477">
        <w:rPr>
          <w:sz w:val="20"/>
          <w:szCs w:val="20"/>
        </w:rPr>
        <w:t xml:space="preserve">  Each will be 3 credit hour</w:t>
      </w:r>
      <w:r w:rsidR="00AF2BF8" w:rsidRPr="00250477">
        <w:rPr>
          <w:sz w:val="20"/>
          <w:szCs w:val="20"/>
        </w:rPr>
        <w:t xml:space="preserve"> courses.   </w:t>
      </w:r>
      <w:r w:rsidR="00AC3B7B" w:rsidRPr="00CE17F0">
        <w:rPr>
          <w:sz w:val="20"/>
          <w:szCs w:val="20"/>
        </w:rPr>
        <w:t>Courses</w:t>
      </w:r>
      <w:r w:rsidR="00AC3B7B">
        <w:rPr>
          <w:i/>
          <w:sz w:val="20"/>
          <w:szCs w:val="20"/>
        </w:rPr>
        <w:t xml:space="preserve"> </w:t>
      </w:r>
      <w:r w:rsidR="00CB188F" w:rsidRPr="00250477">
        <w:rPr>
          <w:sz w:val="20"/>
          <w:szCs w:val="20"/>
        </w:rPr>
        <w:t xml:space="preserve">will be </w:t>
      </w:r>
      <w:r w:rsidR="00816C30">
        <w:rPr>
          <w:sz w:val="20"/>
          <w:szCs w:val="20"/>
        </w:rPr>
        <w:t xml:space="preserve">during “0” period before school </w:t>
      </w:r>
      <w:r w:rsidR="00AA75D9">
        <w:rPr>
          <w:sz w:val="20"/>
          <w:szCs w:val="20"/>
        </w:rPr>
        <w:t xml:space="preserve">on PVHS </w:t>
      </w:r>
      <w:r w:rsidR="00816C30">
        <w:rPr>
          <w:sz w:val="20"/>
          <w:szCs w:val="20"/>
        </w:rPr>
        <w:t>campus</w:t>
      </w:r>
      <w:r w:rsidR="006716B2">
        <w:rPr>
          <w:sz w:val="20"/>
          <w:szCs w:val="20"/>
        </w:rPr>
        <w:t xml:space="preserve"> </w:t>
      </w:r>
      <w:r w:rsidR="00F5648C">
        <w:rPr>
          <w:sz w:val="20"/>
          <w:szCs w:val="20"/>
        </w:rPr>
        <w:t xml:space="preserve">2 days a week for each course.  </w:t>
      </w:r>
      <w:r w:rsidR="00CE17F0">
        <w:rPr>
          <w:sz w:val="20"/>
          <w:szCs w:val="20"/>
        </w:rPr>
        <w:t xml:space="preserve">  This provides college credit and weighted </w:t>
      </w:r>
      <w:r w:rsidR="003D72F3">
        <w:rPr>
          <w:sz w:val="20"/>
          <w:szCs w:val="20"/>
        </w:rPr>
        <w:t xml:space="preserve">5.0 </w:t>
      </w:r>
      <w:r w:rsidR="00CE17F0">
        <w:rPr>
          <w:sz w:val="20"/>
          <w:szCs w:val="20"/>
        </w:rPr>
        <w:t xml:space="preserve">GPA with </w:t>
      </w:r>
      <w:r w:rsidR="003D72F3">
        <w:rPr>
          <w:i/>
          <w:sz w:val="20"/>
          <w:szCs w:val="20"/>
        </w:rPr>
        <w:t>no cost for course or textbooks to students.</w:t>
      </w:r>
      <w:r w:rsidR="00CE17F0">
        <w:rPr>
          <w:sz w:val="20"/>
          <w:szCs w:val="20"/>
        </w:rPr>
        <w:t xml:space="preserve">  </w:t>
      </w:r>
    </w:p>
    <w:p w14:paraId="668673E7" w14:textId="06358FD7" w:rsidR="000241CA" w:rsidRDefault="000241CA" w:rsidP="002504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Course offerings vary each semester based upon instructor availability and number of accepted students to support a course section. </w:t>
      </w:r>
    </w:p>
    <w:p w14:paraId="4FDBD42A" w14:textId="66846168" w:rsidR="00AA75D9" w:rsidRDefault="00AA75D9" w:rsidP="002504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Prior to each semester, information is communicated in Schoology, on website, in </w:t>
      </w:r>
      <w:proofErr w:type="spellStart"/>
      <w:r>
        <w:rPr>
          <w:sz w:val="20"/>
          <w:szCs w:val="20"/>
        </w:rPr>
        <w:t>SharkBytes</w:t>
      </w:r>
      <w:proofErr w:type="spellEnd"/>
      <w:r>
        <w:rPr>
          <w:sz w:val="20"/>
          <w:szCs w:val="20"/>
        </w:rPr>
        <w:t xml:space="preserve"> and on our school media kiosks so that students are aware of course offerings and deadlines.  Please make sure that these sites are checked regularly to avoid missing opportunities. </w:t>
      </w:r>
    </w:p>
    <w:p w14:paraId="7F99B575" w14:textId="77777777" w:rsidR="00C9581A" w:rsidRDefault="00C9581A" w:rsidP="00250477">
      <w:pPr>
        <w:jc w:val="both"/>
        <w:rPr>
          <w:sz w:val="20"/>
          <w:szCs w:val="20"/>
        </w:rPr>
      </w:pPr>
    </w:p>
    <w:p w14:paraId="099726CF" w14:textId="46D3522C" w:rsidR="009E36C1" w:rsidRDefault="00B840BD" w:rsidP="003D72F3">
      <w:pPr>
        <w:jc w:val="center"/>
        <w:rPr>
          <w:b/>
          <w:i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lastRenderedPageBreak/>
        <w:drawing>
          <wp:inline distT="0" distB="0" distL="0" distR="0" wp14:anchorId="6172CE84" wp14:editId="6314D429">
            <wp:extent cx="1577340" cy="55841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54" cy="59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7F0" w:rsidRPr="0099776A">
        <w:rPr>
          <w:b/>
          <w:i/>
          <w:sz w:val="20"/>
          <w:szCs w:val="20"/>
        </w:rPr>
        <w:t>Acceptance is determined by UNF, not PVHS</w:t>
      </w:r>
      <w:r w:rsidR="000241CA">
        <w:rPr>
          <w:b/>
          <w:i/>
          <w:sz w:val="20"/>
          <w:szCs w:val="20"/>
        </w:rPr>
        <w:t>, according to the university’s calculations and requirements. All deadlines are FIRM and students</w:t>
      </w:r>
      <w:r w:rsidR="00AA75D9">
        <w:rPr>
          <w:b/>
          <w:i/>
          <w:sz w:val="20"/>
          <w:szCs w:val="20"/>
        </w:rPr>
        <w:t xml:space="preserve"> comply </w:t>
      </w:r>
      <w:r>
        <w:rPr>
          <w:b/>
          <w:i/>
          <w:sz w:val="20"/>
          <w:szCs w:val="20"/>
        </w:rPr>
        <w:t xml:space="preserve">with </w:t>
      </w:r>
      <w:r w:rsidR="000241CA">
        <w:rPr>
          <w:b/>
          <w:i/>
          <w:sz w:val="20"/>
          <w:szCs w:val="20"/>
        </w:rPr>
        <w:t xml:space="preserve">the </w:t>
      </w:r>
      <w:r w:rsidR="00AA75D9">
        <w:rPr>
          <w:b/>
          <w:i/>
          <w:sz w:val="20"/>
          <w:szCs w:val="20"/>
        </w:rPr>
        <w:t xml:space="preserve">dual enrollment agreement </w:t>
      </w:r>
      <w:r w:rsidR="00C9581A">
        <w:rPr>
          <w:b/>
          <w:i/>
          <w:sz w:val="20"/>
          <w:szCs w:val="20"/>
        </w:rPr>
        <w:t>of</w:t>
      </w:r>
      <w:r w:rsidR="00AA75D9">
        <w:rPr>
          <w:b/>
          <w:i/>
          <w:sz w:val="20"/>
          <w:szCs w:val="20"/>
        </w:rPr>
        <w:t xml:space="preserve"> UNF </w:t>
      </w:r>
      <w:r>
        <w:rPr>
          <w:b/>
          <w:i/>
          <w:sz w:val="20"/>
          <w:szCs w:val="20"/>
        </w:rPr>
        <w:t xml:space="preserve">as these are COLLEGE COURSES and students will be regarded as such.  Parents must sign the agreement as well. </w:t>
      </w:r>
    </w:p>
    <w:p w14:paraId="340447D0" w14:textId="2343CAA2" w:rsidR="00C9581A" w:rsidRDefault="00C9581A" w:rsidP="003D72F3">
      <w:pPr>
        <w:jc w:val="center"/>
        <w:rPr>
          <w:b/>
          <w:i/>
          <w:sz w:val="20"/>
          <w:szCs w:val="20"/>
        </w:rPr>
      </w:pPr>
    </w:p>
    <w:p w14:paraId="7AC17B0B" w14:textId="3D8B8CD3" w:rsidR="00C9581A" w:rsidRDefault="00C9581A" w:rsidP="003D72F3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A65804" wp14:editId="7935D7A0">
                <wp:simplePos x="0" y="0"/>
                <wp:positionH relativeFrom="column">
                  <wp:posOffset>-15240</wp:posOffset>
                </wp:positionH>
                <wp:positionV relativeFrom="paragraph">
                  <wp:posOffset>186690</wp:posOffset>
                </wp:positionV>
                <wp:extent cx="6850380" cy="19126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1912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D3266" id="Rectangle 5" o:spid="_x0000_s1026" style="position:absolute;margin-left:-1.2pt;margin-top:14.7pt;width:539.4pt;height:15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14:paraId="4EA0CA42" w14:textId="77777777" w:rsidR="00AA75D9" w:rsidRPr="009E36C1" w:rsidRDefault="00AA75D9" w:rsidP="00AA75D9">
      <w:pPr>
        <w:rPr>
          <w:b/>
          <w:i/>
          <w:u w:val="single"/>
        </w:rPr>
      </w:pPr>
      <w:r w:rsidRPr="009E36C1">
        <w:rPr>
          <w:b/>
          <w:i/>
          <w:u w:val="single"/>
        </w:rPr>
        <w:t>Dual Enrollment GPA requirements:</w:t>
      </w:r>
    </w:p>
    <w:p w14:paraId="097C2896" w14:textId="77777777" w:rsidR="00AA75D9" w:rsidRPr="009E36C1" w:rsidRDefault="00AA75D9" w:rsidP="00AA75D9">
      <w:pPr>
        <w:pStyle w:val="ListParagraph"/>
        <w:numPr>
          <w:ilvl w:val="0"/>
          <w:numId w:val="2"/>
        </w:numPr>
      </w:pPr>
      <w:r w:rsidRPr="009E36C1">
        <w:t xml:space="preserve">3.0 unweighted GPA of core classes (Math, English, Science, History, Foreign Languages) </w:t>
      </w:r>
    </w:p>
    <w:p w14:paraId="7B2DB777" w14:textId="339ABE99" w:rsidR="00AA75D9" w:rsidRPr="009E36C1" w:rsidRDefault="00AA75D9" w:rsidP="00AA75D9">
      <w:pPr>
        <w:rPr>
          <w:b/>
          <w:u w:val="single"/>
        </w:rPr>
      </w:pPr>
      <w:r w:rsidRPr="009E36C1">
        <w:rPr>
          <w:b/>
          <w:u w:val="single"/>
        </w:rPr>
        <w:t xml:space="preserve">Students must have one of the following minimum test scores to qualify: </w:t>
      </w:r>
    </w:p>
    <w:p w14:paraId="23E43A2E" w14:textId="77777777" w:rsidR="00AA75D9" w:rsidRPr="009E36C1" w:rsidRDefault="00AA75D9" w:rsidP="00AA75D9">
      <w:pPr>
        <w:pStyle w:val="ListParagraph"/>
        <w:numPr>
          <w:ilvl w:val="1"/>
          <w:numId w:val="1"/>
        </w:numPr>
      </w:pPr>
      <w:r w:rsidRPr="009E36C1">
        <w:t>SAT: 460 Verbal and 460 Math</w:t>
      </w:r>
    </w:p>
    <w:p w14:paraId="0598CA8F" w14:textId="77777777" w:rsidR="00AA75D9" w:rsidRPr="009E36C1" w:rsidRDefault="00AA75D9" w:rsidP="00AA75D9">
      <w:pPr>
        <w:pStyle w:val="ListParagraph"/>
        <w:numPr>
          <w:ilvl w:val="1"/>
          <w:numId w:val="1"/>
        </w:numPr>
      </w:pPr>
      <w:r w:rsidRPr="009E36C1">
        <w:t>ACT: 18 English, 19 Math and 19 Reading</w:t>
      </w:r>
    </w:p>
    <w:p w14:paraId="519F8D3D" w14:textId="77777777" w:rsidR="00AA75D9" w:rsidRPr="009E36C1" w:rsidRDefault="00AA75D9" w:rsidP="00AA75D9">
      <w:pPr>
        <w:pStyle w:val="ListParagraph"/>
        <w:numPr>
          <w:ilvl w:val="1"/>
          <w:numId w:val="1"/>
        </w:numPr>
      </w:pPr>
      <w:r w:rsidRPr="009E36C1">
        <w:t>CPT: 83 Reading Comprehension, 83 Sentence Skills and 72 Elementary Algebra</w:t>
      </w:r>
    </w:p>
    <w:p w14:paraId="0F1F0A45" w14:textId="6B9A5F29" w:rsidR="00AA75D9" w:rsidRDefault="00AA75D9" w:rsidP="00AA75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E36C1">
        <w:rPr>
          <w:sz w:val="20"/>
          <w:szCs w:val="20"/>
        </w:rPr>
        <w:t>PERT: 114 Math, 106 Reading and 103 Writing</w:t>
      </w:r>
    </w:p>
    <w:p w14:paraId="1C41A600" w14:textId="77777777" w:rsidR="00C9581A" w:rsidRPr="00AA75D9" w:rsidRDefault="00C9581A" w:rsidP="00C9581A">
      <w:pPr>
        <w:pStyle w:val="ListParagraph"/>
        <w:ind w:left="1440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360"/>
      </w:tblGrid>
      <w:tr w:rsidR="00CB188F" w:rsidRPr="00250477" w14:paraId="34753DEC" w14:textId="77777777">
        <w:trPr>
          <w:trHeight w:val="29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6B87CF0" w14:textId="77777777" w:rsidR="00CB188F" w:rsidRPr="00250477" w:rsidRDefault="00CB188F" w:rsidP="0025047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E9DBD54" w14:textId="77777777" w:rsidR="00CB188F" w:rsidRPr="00250477" w:rsidRDefault="00CB188F">
            <w:pPr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 </w:t>
            </w:r>
          </w:p>
        </w:tc>
      </w:tr>
    </w:tbl>
    <w:p w14:paraId="619F5ED6" w14:textId="4449BAC7" w:rsidR="00AF2BF8" w:rsidRDefault="00816C30" w:rsidP="00250477">
      <w:pPr>
        <w:jc w:val="both"/>
        <w:rPr>
          <w:sz w:val="20"/>
          <w:szCs w:val="20"/>
        </w:rPr>
      </w:pPr>
      <w:r w:rsidRPr="00250477">
        <w:rPr>
          <w:sz w:val="20"/>
          <w:szCs w:val="20"/>
        </w:rPr>
        <w:t>Interested</w:t>
      </w:r>
      <w:r w:rsidR="0085291D" w:rsidRPr="002504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students </w:t>
      </w:r>
      <w:r w:rsidR="0085291D" w:rsidRPr="00250477">
        <w:rPr>
          <w:sz w:val="20"/>
          <w:szCs w:val="20"/>
        </w:rPr>
        <w:t xml:space="preserve">must complete </w:t>
      </w:r>
      <w:r w:rsidR="003274D8">
        <w:rPr>
          <w:sz w:val="20"/>
          <w:szCs w:val="20"/>
        </w:rPr>
        <w:t>p</w:t>
      </w:r>
      <w:r w:rsidR="003D72F3">
        <w:rPr>
          <w:sz w:val="20"/>
          <w:szCs w:val="20"/>
        </w:rPr>
        <w:t>aperwork, attach transcripts</w:t>
      </w:r>
      <w:r w:rsidR="00AA75D9">
        <w:rPr>
          <w:sz w:val="20"/>
          <w:szCs w:val="20"/>
        </w:rPr>
        <w:t xml:space="preserve"> and provide </w:t>
      </w:r>
      <w:r w:rsidR="003274D8">
        <w:rPr>
          <w:sz w:val="20"/>
          <w:szCs w:val="20"/>
        </w:rPr>
        <w:t>test scores and submit all</w:t>
      </w:r>
      <w:r w:rsidR="00CE17F0">
        <w:rPr>
          <w:sz w:val="20"/>
          <w:szCs w:val="20"/>
        </w:rPr>
        <w:t xml:space="preserve"> to Mrs. Asplen by the DEADLINE.  </w:t>
      </w:r>
      <w:r w:rsidR="008A571A" w:rsidRPr="00250477">
        <w:rPr>
          <w:sz w:val="20"/>
          <w:szCs w:val="20"/>
        </w:rPr>
        <w:t xml:space="preserve">This is a great opportunity for our students.  </w:t>
      </w:r>
      <w:r w:rsidR="00540B53" w:rsidRPr="00250477">
        <w:rPr>
          <w:sz w:val="20"/>
          <w:szCs w:val="20"/>
        </w:rPr>
        <w:t xml:space="preserve"> </w:t>
      </w:r>
      <w:r w:rsidR="008A571A" w:rsidRPr="00250477">
        <w:rPr>
          <w:sz w:val="20"/>
          <w:szCs w:val="20"/>
        </w:rPr>
        <w:t>Priority is given to Academy students first (</w:t>
      </w:r>
      <w:r w:rsidR="00540B53" w:rsidRPr="00250477">
        <w:rPr>
          <w:sz w:val="20"/>
          <w:szCs w:val="20"/>
        </w:rPr>
        <w:t xml:space="preserve">seniors and then juniors) after which, it will open to the </w:t>
      </w:r>
      <w:r w:rsidR="0099776A">
        <w:rPr>
          <w:sz w:val="20"/>
          <w:szCs w:val="20"/>
        </w:rPr>
        <w:t>general population of seniors</w:t>
      </w:r>
      <w:r w:rsidR="000D38D7">
        <w:rPr>
          <w:sz w:val="20"/>
          <w:szCs w:val="20"/>
        </w:rPr>
        <w:t xml:space="preserve"> and</w:t>
      </w:r>
      <w:r w:rsidR="00540B53" w:rsidRPr="00250477">
        <w:rPr>
          <w:sz w:val="20"/>
          <w:szCs w:val="20"/>
        </w:rPr>
        <w:t xml:space="preserve"> then juniors</w:t>
      </w:r>
      <w:r>
        <w:rPr>
          <w:sz w:val="20"/>
          <w:szCs w:val="20"/>
        </w:rPr>
        <w:t>, consecutively.</w:t>
      </w:r>
      <w:r w:rsidR="00AA75D9">
        <w:rPr>
          <w:sz w:val="20"/>
          <w:szCs w:val="20"/>
        </w:rPr>
        <w:t xml:space="preserve"> Certain courses have limited class size.  </w:t>
      </w:r>
    </w:p>
    <w:p w14:paraId="5B8F483F" w14:textId="76436DAA" w:rsidR="00B840BD" w:rsidRDefault="00B840BD" w:rsidP="00250477">
      <w:pPr>
        <w:jc w:val="both"/>
        <w:rPr>
          <w:sz w:val="20"/>
          <w:szCs w:val="20"/>
        </w:rPr>
      </w:pPr>
    </w:p>
    <w:p w14:paraId="13D316DC" w14:textId="2420B264" w:rsidR="00C9581A" w:rsidRDefault="00C9581A" w:rsidP="00250477">
      <w:pPr>
        <w:jc w:val="both"/>
        <w:rPr>
          <w:sz w:val="20"/>
          <w:szCs w:val="20"/>
        </w:rPr>
      </w:pPr>
    </w:p>
    <w:p w14:paraId="15687036" w14:textId="62A57ED6" w:rsidR="00C9581A" w:rsidRDefault="00C9581A" w:rsidP="00250477">
      <w:pPr>
        <w:jc w:val="both"/>
        <w:rPr>
          <w:sz w:val="20"/>
          <w:szCs w:val="20"/>
        </w:rPr>
      </w:pPr>
    </w:p>
    <w:p w14:paraId="01FFD2EE" w14:textId="4E4B9940" w:rsidR="00C9581A" w:rsidRDefault="00C9581A" w:rsidP="00250477">
      <w:pPr>
        <w:jc w:val="both"/>
        <w:rPr>
          <w:sz w:val="20"/>
          <w:szCs w:val="20"/>
        </w:rPr>
      </w:pPr>
    </w:p>
    <w:p w14:paraId="20B013D8" w14:textId="1DF611C0" w:rsidR="00C9581A" w:rsidRDefault="00C9581A" w:rsidP="00250477">
      <w:pPr>
        <w:jc w:val="both"/>
        <w:rPr>
          <w:sz w:val="20"/>
          <w:szCs w:val="20"/>
        </w:rPr>
      </w:pPr>
    </w:p>
    <w:p w14:paraId="0413A2C8" w14:textId="6DA14F76" w:rsidR="00C9581A" w:rsidRPr="00930A3B" w:rsidRDefault="00930A3B" w:rsidP="00930A3B">
      <w:pPr>
        <w:jc w:val="center"/>
        <w:rPr>
          <w:b/>
          <w:bCs/>
          <w:i/>
          <w:iCs/>
          <w:sz w:val="36"/>
          <w:szCs w:val="36"/>
        </w:rPr>
      </w:pPr>
      <w:r w:rsidRPr="00930A3B">
        <w:rPr>
          <w:b/>
          <w:bCs/>
          <w:i/>
          <w:iCs/>
          <w:sz w:val="36"/>
          <w:szCs w:val="36"/>
        </w:rPr>
        <w:t>These are the course offerings for FALL 2020</w:t>
      </w:r>
    </w:p>
    <w:p w14:paraId="17E87B44" w14:textId="6072496B" w:rsidR="0099776A" w:rsidRPr="0099776A" w:rsidRDefault="00384659" w:rsidP="00930A3B">
      <w:pPr>
        <w:jc w:val="center"/>
        <w:rPr>
          <w:b/>
          <w:sz w:val="20"/>
          <w:szCs w:val="20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6D0575B" wp14:editId="639A8E07">
            <wp:extent cx="2712720" cy="1180926"/>
            <wp:effectExtent l="0" t="0" r="0" b="63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27" cy="12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7A81B" w14:textId="77777777" w:rsidR="00930A3B" w:rsidRDefault="00930A3B" w:rsidP="00930A3B">
      <w:pPr>
        <w:jc w:val="both"/>
        <w:rPr>
          <w:b/>
          <w:sz w:val="20"/>
          <w:szCs w:val="20"/>
        </w:rPr>
      </w:pPr>
      <w:bookmarkStart w:id="1" w:name="_GoBack"/>
      <w:bookmarkEnd w:id="1"/>
    </w:p>
    <w:p w14:paraId="4ADD38EB" w14:textId="799A0B7D" w:rsidR="003D72F3" w:rsidRPr="00B840BD" w:rsidRDefault="003D72F3" w:rsidP="00930A3B">
      <w:pPr>
        <w:jc w:val="both"/>
        <w:rPr>
          <w:b/>
          <w:sz w:val="20"/>
          <w:szCs w:val="20"/>
        </w:rPr>
      </w:pPr>
      <w:r w:rsidRPr="00B840BD">
        <w:rPr>
          <w:b/>
          <w:sz w:val="20"/>
          <w:szCs w:val="20"/>
        </w:rPr>
        <w:t xml:space="preserve">BUL3130: The Legal Environment of Business                                             </w:t>
      </w:r>
      <w:r w:rsidRPr="00B840BD">
        <w:rPr>
          <w:b/>
          <w:sz w:val="20"/>
          <w:szCs w:val="20"/>
        </w:rPr>
        <w:tab/>
      </w:r>
      <w:r w:rsidRPr="00B840BD">
        <w:rPr>
          <w:b/>
          <w:sz w:val="20"/>
          <w:szCs w:val="20"/>
        </w:rPr>
        <w:tab/>
        <w:t xml:space="preserve">  </w:t>
      </w:r>
      <w:r w:rsidR="00CD4F29" w:rsidRPr="00B840BD">
        <w:rPr>
          <w:b/>
          <w:sz w:val="20"/>
          <w:szCs w:val="20"/>
        </w:rPr>
        <w:tab/>
      </w:r>
      <w:r w:rsidR="00CD4F29" w:rsidRPr="00B840BD">
        <w:rPr>
          <w:b/>
          <w:sz w:val="20"/>
          <w:szCs w:val="20"/>
        </w:rPr>
        <w:tab/>
      </w:r>
    </w:p>
    <w:p w14:paraId="3B34A4C1" w14:textId="77777777" w:rsidR="00930A3B" w:rsidRDefault="003D72F3" w:rsidP="00930A3B">
      <w:pPr>
        <w:jc w:val="both"/>
        <w:rPr>
          <w:sz w:val="20"/>
          <w:szCs w:val="20"/>
        </w:rPr>
      </w:pPr>
      <w:r w:rsidRPr="003D72F3">
        <w:rPr>
          <w:sz w:val="20"/>
          <w:szCs w:val="20"/>
        </w:rPr>
        <w:lastRenderedPageBreak/>
        <w:t>This course is an introduction to law as it relates to and impacts upon the operation of business. Consideration is given to the Uniform</w:t>
      </w:r>
    </w:p>
    <w:p w14:paraId="2B660F4E" w14:textId="70AD1612" w:rsidR="00B840BD" w:rsidRPr="00B840BD" w:rsidRDefault="003D72F3" w:rsidP="00930A3B">
      <w:pPr>
        <w:jc w:val="both"/>
        <w:rPr>
          <w:sz w:val="20"/>
          <w:szCs w:val="20"/>
        </w:rPr>
      </w:pPr>
      <w:r w:rsidRPr="003D72F3">
        <w:rPr>
          <w:sz w:val="20"/>
          <w:szCs w:val="20"/>
        </w:rPr>
        <w:t xml:space="preserve"> Commercial Code, antitrust, employment laws, business ethics, international law and the social and political environment in which a business operates</w:t>
      </w:r>
    </w:p>
    <w:p w14:paraId="32FE85DE" w14:textId="77777777" w:rsidR="002C137B" w:rsidRPr="003031FA" w:rsidRDefault="00B840BD" w:rsidP="00930A3B">
      <w:pPr>
        <w:spacing w:after="150" w:line="396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"/>
        </w:rPr>
      </w:pPr>
      <w:r w:rsidRPr="00B840BD">
        <w:rPr>
          <w:rFonts w:eastAsia="Times New Roman" w:cstheme="minorHAnsi"/>
          <w:b/>
          <w:bCs/>
          <w:color w:val="000000"/>
          <w:sz w:val="20"/>
          <w:szCs w:val="20"/>
          <w:lang w:val="en"/>
        </w:rPr>
        <w:t>MAR3702: Principles of Digital Transformation in Business</w:t>
      </w:r>
    </w:p>
    <w:p w14:paraId="298B93BE" w14:textId="69626718" w:rsidR="00B840BD" w:rsidRPr="003031FA" w:rsidRDefault="00B840BD" w:rsidP="00930A3B">
      <w:pPr>
        <w:spacing w:after="150" w:line="396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"/>
        </w:rPr>
      </w:pPr>
      <w:r w:rsidRPr="00B840BD">
        <w:rPr>
          <w:rFonts w:eastAsia="Times New Roman" w:cstheme="minorHAnsi"/>
          <w:sz w:val="20"/>
          <w:szCs w:val="20"/>
          <w:lang w:val="en"/>
        </w:rPr>
        <w:t>Today, every professional job has a digital component to it. Digitization impacts all industries and all business processes. This course inspires students to embrace today</w:t>
      </w:r>
      <w:r w:rsidRPr="003031FA">
        <w:rPr>
          <w:rFonts w:eastAsia="Times New Roman" w:cstheme="minorHAnsi"/>
          <w:sz w:val="20"/>
          <w:szCs w:val="20"/>
          <w:lang w:val="en"/>
        </w:rPr>
        <w:t>’</w:t>
      </w:r>
      <w:r w:rsidRPr="00B840BD">
        <w:rPr>
          <w:rFonts w:eastAsia="Times New Roman" w:cstheme="minorHAnsi"/>
          <w:sz w:val="20"/>
          <w:szCs w:val="20"/>
          <w:lang w:val="en"/>
        </w:rPr>
        <w:t>s profound transformation of business and organizational activities, processes, competencies and models to leverage the opportunities of a mix of digital technologies and their accelerating impact across society in a strategic and prioritized way, with present and future shifts in mind. It provides students with first-hand understanding of the elements driving digital transformation (like the Internet of Things, Drones, Artificial Intelligence, Big Data, Data Analytics, Social Media &amp; Digital Marketing, Virtual and Augmented Reality, Telemedicine, Robotics)</w:t>
      </w:r>
    </w:p>
    <w:bookmarkEnd w:id="0"/>
    <w:p w14:paraId="62491D45" w14:textId="6EBD5685" w:rsidR="00F83DFB" w:rsidRPr="00C9581A" w:rsidRDefault="00F83DFB" w:rsidP="00930A3B">
      <w:pPr>
        <w:spacing w:after="150" w:line="396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"/>
        </w:rPr>
      </w:pPr>
    </w:p>
    <w:sectPr w:rsidR="00F83DFB" w:rsidRPr="00C9581A" w:rsidSect="009E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31B9"/>
    <w:multiLevelType w:val="hybridMultilevel"/>
    <w:tmpl w:val="82BA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52D92"/>
    <w:multiLevelType w:val="hybridMultilevel"/>
    <w:tmpl w:val="0976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80"/>
    <w:rsid w:val="000241CA"/>
    <w:rsid w:val="00071543"/>
    <w:rsid w:val="000D38D7"/>
    <w:rsid w:val="00126AF6"/>
    <w:rsid w:val="00250477"/>
    <w:rsid w:val="002C137B"/>
    <w:rsid w:val="003031FA"/>
    <w:rsid w:val="003274D8"/>
    <w:rsid w:val="00354E6B"/>
    <w:rsid w:val="00363E69"/>
    <w:rsid w:val="00384659"/>
    <w:rsid w:val="003D72F3"/>
    <w:rsid w:val="004D5478"/>
    <w:rsid w:val="00540B53"/>
    <w:rsid w:val="005A063D"/>
    <w:rsid w:val="006716B2"/>
    <w:rsid w:val="007E523F"/>
    <w:rsid w:val="00816C30"/>
    <w:rsid w:val="0085291D"/>
    <w:rsid w:val="00872C33"/>
    <w:rsid w:val="008A571A"/>
    <w:rsid w:val="009064D5"/>
    <w:rsid w:val="00917350"/>
    <w:rsid w:val="0092755E"/>
    <w:rsid w:val="00930A3B"/>
    <w:rsid w:val="0099776A"/>
    <w:rsid w:val="009E36C1"/>
    <w:rsid w:val="00A30125"/>
    <w:rsid w:val="00A41FAC"/>
    <w:rsid w:val="00AA75D9"/>
    <w:rsid w:val="00AC3B7B"/>
    <w:rsid w:val="00AF2BF8"/>
    <w:rsid w:val="00B840BD"/>
    <w:rsid w:val="00BE74DD"/>
    <w:rsid w:val="00C9581A"/>
    <w:rsid w:val="00CB188F"/>
    <w:rsid w:val="00CD4F29"/>
    <w:rsid w:val="00CE17F0"/>
    <w:rsid w:val="00D1714E"/>
    <w:rsid w:val="00DB2F73"/>
    <w:rsid w:val="00DE12A6"/>
    <w:rsid w:val="00DF1C85"/>
    <w:rsid w:val="00E20280"/>
    <w:rsid w:val="00E20A90"/>
    <w:rsid w:val="00F5648C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B09C"/>
  <w15:chartTrackingRefBased/>
  <w15:docId w15:val="{3E1E4DBD-CC7A-46C6-AE72-770F045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1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2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7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Ellen Asplen</dc:creator>
  <cp:keywords/>
  <dc:description/>
  <cp:lastModifiedBy>Mari Ellen Asplen</cp:lastModifiedBy>
  <cp:revision>2</cp:revision>
  <cp:lastPrinted>2020-01-17T16:03:00Z</cp:lastPrinted>
  <dcterms:created xsi:type="dcterms:W3CDTF">2020-03-04T17:46:00Z</dcterms:created>
  <dcterms:modified xsi:type="dcterms:W3CDTF">2020-03-04T17:46:00Z</dcterms:modified>
</cp:coreProperties>
</file>